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“L</w:t>
      </w:r>
      <w:r w:rsidR="008647FA">
        <w:rPr>
          <w:rFonts w:ascii="Calibri" w:eastAsia="Calibri" w:hAnsi="Calibri" w:cs="Calibri"/>
          <w:b/>
          <w:bCs/>
          <w:sz w:val="28"/>
          <w:szCs w:val="28"/>
        </w:rPr>
        <w:t>’</w:t>
      </w:r>
      <w:r>
        <w:rPr>
          <w:rFonts w:ascii="Calibri" w:eastAsia="Calibri" w:hAnsi="Calibri" w:cs="Calibri"/>
          <w:b/>
          <w:bCs/>
          <w:sz w:val="28"/>
          <w:szCs w:val="28"/>
        </w:rPr>
        <w:t>alfabeto della scienza”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P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 DI SINTESI VALUTAZIONE INIZIALE</w:t>
      </w: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t>Dalla lettura dei grafici relativi agli esiti dei test di ingresso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somministrati ai corsisti iscritti al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si evince per tutte e tre le competenze prese in considerazione una situazione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 pressoché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analoga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, relativamente ai quattro livelli, che </w:t>
      </w:r>
      <w:r w:rsidR="002B03E2">
        <w:rPr>
          <w:rFonts w:ascii="Calibri" w:eastAsia="Calibri" w:hAnsi="Calibri" w:cs="Times New Roman"/>
          <w:sz w:val="28"/>
          <w:szCs w:val="28"/>
        </w:rPr>
        <w:lastRenderedPageBreak/>
        <w:t>dal più basso al più alto sono: iniziale, base, intermedio, avanzato. Infatti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la maggior parte dei corsisti si posiziona nel livello </w:t>
      </w:r>
      <w:r w:rsidR="002B03E2">
        <w:rPr>
          <w:rFonts w:ascii="Calibri" w:eastAsia="Calibri" w:hAnsi="Calibri" w:cs="Times New Roman"/>
          <w:sz w:val="28"/>
          <w:szCs w:val="28"/>
        </w:rPr>
        <w:t>“Intermedio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”, una piccola percentuale si posiziona nel livello </w:t>
      </w:r>
      <w:r w:rsidR="002B03E2">
        <w:rPr>
          <w:rFonts w:ascii="Calibri" w:eastAsia="Calibri" w:hAnsi="Calibri" w:cs="Times New Roman"/>
          <w:sz w:val="28"/>
          <w:szCs w:val="28"/>
        </w:rPr>
        <w:t>“Avanzato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” ed un numero esiguo nel livello </w:t>
      </w:r>
      <w:r w:rsidR="002B03E2">
        <w:rPr>
          <w:rFonts w:ascii="Calibri" w:eastAsia="Calibri" w:hAnsi="Calibri" w:cs="Times New Roman"/>
          <w:sz w:val="28"/>
          <w:szCs w:val="28"/>
        </w:rPr>
        <w:t>“Base”; nessun corsista si posiziona nel livello “Iniziale”, il più basso. Per quanto riguarda la competenza descrittiva-espositiva e la competenza inferenziale le percentuali</w:t>
      </w:r>
      <w:r w:rsidR="00387BDE">
        <w:rPr>
          <w:rFonts w:ascii="Calibri" w:eastAsia="Calibri" w:hAnsi="Calibri" w:cs="Times New Roman"/>
          <w:sz w:val="28"/>
          <w:szCs w:val="28"/>
        </w:rPr>
        <w:t xml:space="preserve"> dei corsisti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 nei diversi livelli sono identiche.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Si confronteranno questi grafici al termine del percorso con quelli relativi alla valutazione finale per verificare l’incisività degli interventi formativi sui corsisti.</w:t>
      </w:r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010331"/>
    <w:rsid w:val="002B03E2"/>
    <w:rsid w:val="002D2CB7"/>
    <w:rsid w:val="00387BDE"/>
    <w:rsid w:val="008647FA"/>
    <w:rsid w:val="00A6659E"/>
    <w:rsid w:val="00B13020"/>
    <w:rsid w:val="00D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Operativa Esperienziale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Operativa Esperenziale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8.3000000000000007</c:v>
                </c:pt>
                <c:pt idx="2">
                  <c:v>75</c:v>
                </c:pt>
                <c:pt idx="3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Descrittiva Espositiva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12.5</c:v>
                </c:pt>
                <c:pt idx="2">
                  <c:v>70.8</c:v>
                </c:pt>
                <c:pt idx="3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Inferenziale</a:t>
            </a:r>
          </a:p>
        </c:rich>
      </c:tx>
      <c:layout>
        <c:manualLayout>
          <c:xMode val="edge"/>
          <c:yMode val="edge"/>
          <c:x val="0.24745935403907846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Descrittiva Espositiva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12.5</c:v>
                </c:pt>
                <c:pt idx="2">
                  <c:v>70.8</c:v>
                </c:pt>
                <c:pt idx="3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4</cp:revision>
  <dcterms:created xsi:type="dcterms:W3CDTF">2019-02-25T16:00:00Z</dcterms:created>
  <dcterms:modified xsi:type="dcterms:W3CDTF">2019-03-17T18:10:00Z</dcterms:modified>
</cp:coreProperties>
</file>