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F96000" w:rsidRPr="00F96000" w:rsidRDefault="00E4455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F96000" w:rsidRPr="00F96000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F96000" w:rsidRPr="00F96000">
        <w:rPr>
          <w:rFonts w:ascii="Calibri" w:eastAsia="Calibri" w:hAnsi="Calibri" w:cs="Calibri"/>
          <w:sz w:val="28"/>
          <w:szCs w:val="28"/>
        </w:rPr>
        <w:t>.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F96000" w:rsidRPr="00F96000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F96000"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sz w:val="28"/>
          <w:szCs w:val="28"/>
        </w:rPr>
        <w:t>Modulo: “</w:t>
      </w:r>
      <w:r w:rsidR="00CF6700">
        <w:rPr>
          <w:rFonts w:ascii="Calibri" w:eastAsia="Calibri" w:hAnsi="Calibri" w:cs="Calibri"/>
          <w:b/>
          <w:bCs/>
          <w:sz w:val="28"/>
          <w:szCs w:val="28"/>
        </w:rPr>
        <w:t>Ascoltare, leggere, comprendere 2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4A5181" w:rsidRPr="004A5181" w:rsidRDefault="004A518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846F96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CF6700">
                    <w:rPr>
                      <w:sz w:val="28"/>
                      <w:szCs w:val="28"/>
                    </w:rPr>
                    <w:t>ompetenza attentiva e partecipativa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846F96" w:rsidP="00BD72C7">
      <w:r>
        <w:rPr>
          <w:noProof/>
          <w:lang w:eastAsia="it-IT"/>
        </w:rPr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CF6700">
                    <w:rPr>
                      <w:sz w:val="28"/>
                      <w:szCs w:val="28"/>
                    </w:rPr>
                    <w:t>di comprensione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68777D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0B1998BC" wp14:editId="70052781">
            <wp:simplePos x="0" y="0"/>
            <wp:positionH relativeFrom="margin">
              <wp:posOffset>314325</wp:posOffset>
            </wp:positionH>
            <wp:positionV relativeFrom="paragraph">
              <wp:posOffset>733425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46F96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C2460A" w:rsidRPr="00350946" w:rsidRDefault="00CF6700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espositiva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5648" behindDoc="0" locked="0" layoutInCell="1" allowOverlap="1" wp14:anchorId="4F9781BE" wp14:editId="025923BA">
            <wp:simplePos x="0" y="0"/>
            <wp:positionH relativeFrom="margin">
              <wp:posOffset>314325</wp:posOffset>
            </wp:positionH>
            <wp:positionV relativeFrom="paragraph">
              <wp:posOffset>91440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46F96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32" type="#_x0000_t202" style="position:absolute;left:0;text-align:left;margin-left:24.75pt;margin-top:-19.95pt;width:6in;height:25.5pt;z-index:251673600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F96000" w:rsidRPr="00350946" w:rsidRDefault="00CF6700" w:rsidP="00F960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argomentativa</w:t>
                  </w:r>
                </w:p>
              </w:txbxContent>
            </v:textbox>
            <w10:wrap anchorx="margin"/>
          </v:shape>
        </w:pict>
      </w: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34" type="#_x0000_t202" style="position:absolute;left:0;text-align:left;margin-left:24.75pt;margin-top:14.1pt;width:6in;height:25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CF6700" w:rsidRPr="00350946" w:rsidRDefault="00CF6700" w:rsidP="00CF67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elaborativa, ideativa, testuale</w:t>
                  </w:r>
                </w:p>
              </w:txbxContent>
            </v:textbox>
          </v:shape>
        </w:pict>
      </w: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 wp14:anchorId="5E7AF58A" wp14:editId="2E2A859A">
            <wp:simplePos x="0" y="0"/>
            <wp:positionH relativeFrom="margin">
              <wp:posOffset>314325</wp:posOffset>
            </wp:positionH>
            <wp:positionV relativeFrom="paragraph">
              <wp:posOffset>272415</wp:posOffset>
            </wp:positionV>
            <wp:extent cx="5486400" cy="3200400"/>
            <wp:effectExtent l="0" t="0" r="0" b="0"/>
            <wp:wrapSquare wrapText="bothSides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F6700" w:rsidRDefault="00CF67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BD72C7" w:rsidRDefault="00BD72C7" w:rsidP="0076015C">
      <w:pPr>
        <w:spacing w:after="0"/>
        <w:jc w:val="both"/>
      </w:pPr>
      <w:r>
        <w:rPr>
          <w:rFonts w:ascii="Calibri" w:eastAsia="Calibri" w:hAnsi="Calibri" w:cs="Times New Roman"/>
          <w:sz w:val="28"/>
          <w:szCs w:val="28"/>
        </w:rPr>
        <w:lastRenderedPageBreak/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F87466">
        <w:rPr>
          <w:rFonts w:ascii="Calibri" w:eastAsia="Calibri" w:hAnsi="Calibri" w:cs="Times New Roman"/>
          <w:sz w:val="28"/>
          <w:szCs w:val="28"/>
        </w:rPr>
        <w:t xml:space="preserve">per quanto riguarda 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tutte le competenze prese in considerazione </w:t>
      </w:r>
      <w:r w:rsidR="0076015C">
        <w:rPr>
          <w:rFonts w:ascii="Calibri" w:eastAsia="Calibri" w:hAnsi="Calibri" w:cs="Times New Roman"/>
          <w:sz w:val="28"/>
          <w:szCs w:val="28"/>
        </w:rPr>
        <w:t xml:space="preserve">è </w:t>
      </w:r>
      <w:r w:rsidR="00846F96">
        <w:rPr>
          <w:rFonts w:ascii="Calibri" w:eastAsia="Calibri" w:hAnsi="Calibri" w:cs="Times New Roman"/>
          <w:sz w:val="28"/>
          <w:szCs w:val="28"/>
        </w:rPr>
        <w:t xml:space="preserve">nulla </w:t>
      </w:r>
      <w:r w:rsidR="0076015C">
        <w:rPr>
          <w:rFonts w:ascii="Calibri" w:eastAsia="Calibri" w:hAnsi="Calibri" w:cs="Times New Roman"/>
          <w:sz w:val="28"/>
          <w:szCs w:val="28"/>
        </w:rPr>
        <w:t>la percentu</w:t>
      </w:r>
      <w:r w:rsidR="00846F96">
        <w:rPr>
          <w:rFonts w:ascii="Calibri" w:eastAsia="Calibri" w:hAnsi="Calibri" w:cs="Times New Roman"/>
          <w:sz w:val="28"/>
          <w:szCs w:val="28"/>
        </w:rPr>
        <w:t xml:space="preserve">ale dei corsisti posizionati nei livelli più bassi e cioè quello “iniziale” e quello “base” a tutto vantaggio dei livelli più alti </w:t>
      </w:r>
      <w:bookmarkStart w:id="0" w:name="_GoBack"/>
      <w:bookmarkEnd w:id="0"/>
      <w:r w:rsidR="00846F96">
        <w:rPr>
          <w:rFonts w:ascii="Calibri" w:eastAsia="Calibri" w:hAnsi="Calibri" w:cs="Times New Roman"/>
          <w:sz w:val="28"/>
          <w:szCs w:val="28"/>
        </w:rPr>
        <w:t>cioè il livello “intermedio” ed il livello “avanzato”. Inoltre per le competenze di comprensione, argomentativa e elaborativa-ideativa-testuale i corsisti si suddividono al 50% nei rispettivi livelli “intermedio” e “avanzato”, mentre per la competenza attentiva e partecipativa la percentuale dei corsisti si posizione nel livello più alto in assoluto, che è quello “avanzato”, e per la competenza espositiva il numero maggiore di alunni si posiziona nel livello “intermedio”.</w:t>
      </w:r>
    </w:p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2F1C03"/>
    <w:rsid w:val="003049AC"/>
    <w:rsid w:val="00313D91"/>
    <w:rsid w:val="00395873"/>
    <w:rsid w:val="003B6077"/>
    <w:rsid w:val="004A5181"/>
    <w:rsid w:val="0067465D"/>
    <w:rsid w:val="00675D50"/>
    <w:rsid w:val="0068777D"/>
    <w:rsid w:val="0076015C"/>
    <w:rsid w:val="00846F96"/>
    <w:rsid w:val="00916F25"/>
    <w:rsid w:val="009F577C"/>
    <w:rsid w:val="00A43F0B"/>
    <w:rsid w:val="00AE4360"/>
    <w:rsid w:val="00BD21FE"/>
    <w:rsid w:val="00BD72C7"/>
    <w:rsid w:val="00C2460A"/>
    <w:rsid w:val="00C5736D"/>
    <w:rsid w:val="00CA1F7D"/>
    <w:rsid w:val="00CB544C"/>
    <w:rsid w:val="00CF6700"/>
    <w:rsid w:val="00DC5D3B"/>
    <w:rsid w:val="00DF2684"/>
    <w:rsid w:val="00E44551"/>
    <w:rsid w:val="00ED3069"/>
    <w:rsid w:val="00F8746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CFC3188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hart" Target="charts/chart5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3.7999999999999999E-2</c:v>
                </c:pt>
                <c:pt idx="2">
                  <c:v>0.622</c:v>
                </c:pt>
                <c:pt idx="3" formatCode="0.00%">
                  <c:v>0.26900000000000002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0.46150000000000002</c:v>
                </c:pt>
                <c:pt idx="3" formatCode="0.00%">
                  <c:v>0.53849999999999998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0.192</c:v>
                </c:pt>
                <c:pt idx="2">
                  <c:v>0.46100000000000002</c:v>
                </c:pt>
                <c:pt idx="3" formatCode="0.00%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0.308</c:v>
                </c:pt>
                <c:pt idx="2">
                  <c:v>0.42299999999999999</c:v>
                </c:pt>
                <c:pt idx="3" formatCode="0.00%">
                  <c:v>0.26900000000000002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A-4B54-9927-3DB07364625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0.57699999999999996</c:v>
                </c:pt>
                <c:pt idx="3" formatCode="0.00%">
                  <c:v>0.42299999999999999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A-4B54-9927-3DB073646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0.26900000000000002</c:v>
                </c:pt>
                <c:pt idx="2">
                  <c:v>0.38500000000000001</c:v>
                </c:pt>
                <c:pt idx="3" formatCode="0.00%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C-41FA-9476-0B55A01C5EE5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C-41FA-9476-0B55A01C5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0.23100000000000001</c:v>
                </c:pt>
                <c:pt idx="2">
                  <c:v>0.42299999999999999</c:v>
                </c:pt>
                <c:pt idx="3" formatCode="0.00%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5-4023-9CA3-58034CB32D2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5-4023-9CA3-58034CB32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21</cp:revision>
  <dcterms:created xsi:type="dcterms:W3CDTF">2018-06-12T07:23:00Z</dcterms:created>
  <dcterms:modified xsi:type="dcterms:W3CDTF">2019-06-02T17:52:00Z</dcterms:modified>
</cp:coreProperties>
</file>