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551" w:rsidRDefault="00E44551">
      <w:r w:rsidRPr="00E44551"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-347345</wp:posOffset>
            </wp:positionV>
            <wp:extent cx="3117850" cy="723900"/>
            <wp:effectExtent l="19050" t="0" r="6350" b="0"/>
            <wp:wrapSquare wrapText="bothSides"/>
            <wp:docPr id="2" name="Immagine 2" descr="G:\Flora\PON Inclusione 201-18\Loghi PON 2014-2020 (fesr) cor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G:\Flora\PON Inclusione 201-18\Loghi PON 2014-2020 (fesr) cort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78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4551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-347345</wp:posOffset>
            </wp:positionV>
            <wp:extent cx="3133725" cy="742950"/>
            <wp:effectExtent l="19050" t="0" r="9525" b="0"/>
            <wp:wrapSquare wrapText="bothSides"/>
            <wp:docPr id="1" name="Immagine 1" descr="testata nuova comprensi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testata nuova comprensiv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4551" w:rsidRDefault="00E44551" w:rsidP="00E44551"/>
    <w:p w:rsidR="00F96000" w:rsidRPr="00F96000" w:rsidRDefault="00E4455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sz w:val="28"/>
          <w:szCs w:val="28"/>
        </w:rPr>
      </w:pPr>
      <w:r>
        <w:tab/>
      </w:r>
      <w:r w:rsidR="00F96000" w:rsidRPr="00F96000">
        <w:rPr>
          <w:rFonts w:ascii="Calibri" w:eastAsia="Calibri" w:hAnsi="Calibri" w:cs="Calibri"/>
          <w:b/>
          <w:sz w:val="28"/>
          <w:szCs w:val="28"/>
        </w:rPr>
        <w:t>Fondi Strutturali Europei – Programma Operativo Nazionale “Per la scuola, competenze e ambienti per l’apprendimento” 2014-2020</w:t>
      </w:r>
      <w:r w:rsidR="00F96000" w:rsidRPr="00F96000">
        <w:rPr>
          <w:rFonts w:ascii="Calibri" w:eastAsia="Calibri" w:hAnsi="Calibri" w:cs="Calibri"/>
          <w:sz w:val="28"/>
          <w:szCs w:val="28"/>
        </w:rPr>
        <w:t>.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 Obiettivo Specifico</w:t>
      </w:r>
      <w:r w:rsidR="00F96000" w:rsidRPr="00F96000">
        <w:rPr>
          <w:rFonts w:ascii="Calibri" w:eastAsia="Calibri" w:hAnsi="Calibri" w:cs="Calibri"/>
          <w:b/>
          <w:bCs/>
          <w:color w:val="1F497D"/>
          <w:sz w:val="28"/>
          <w:szCs w:val="28"/>
          <w:lang w:eastAsia="it-IT"/>
        </w:rPr>
        <w:t xml:space="preserve"> 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  <w:lang w:eastAsia="it-IT"/>
        </w:rPr>
        <w:t xml:space="preserve">10.2 Miglioramento delle competenze chiave degli allievi - Azione 10.2.2 - </w:t>
      </w:r>
      <w:r w:rsidR="00F96000"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Azioni di integrazione e potenziamento disciplinari di base (lingua italiana, lingue straniere, matematica, scienze, nuove tecnologie e nuovi linguaggi).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Sotto-azioni  10.2.2.A Competenze di base.</w:t>
      </w:r>
    </w:p>
    <w:p w:rsidR="00F96000" w:rsidRPr="00F96000" w:rsidRDefault="00F96000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Progetto 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GLI ALFABETI PER DIVENTARE GRANDI -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>Codice</w:t>
      </w:r>
      <w:r w:rsidRPr="00F96000">
        <w:rPr>
          <w:rFonts w:ascii="Calibri" w:eastAsia="Calibri" w:hAnsi="Calibri" w:cs="Calibri"/>
          <w:b/>
          <w:bCs/>
          <w:i/>
          <w:color w:val="000000"/>
          <w:sz w:val="28"/>
          <w:szCs w:val="28"/>
        </w:rPr>
        <w:t xml:space="preserve"> </w:t>
      </w:r>
      <w:r w:rsidRPr="00F96000">
        <w:rPr>
          <w:rFonts w:ascii="Calibri" w:eastAsia="Calibri" w:hAnsi="Calibri" w:cs="Calibri"/>
          <w:b/>
          <w:bCs/>
          <w:color w:val="000000"/>
          <w:sz w:val="28"/>
          <w:szCs w:val="28"/>
        </w:rPr>
        <w:t xml:space="preserve"> identificativo </w:t>
      </w:r>
      <w:r w:rsidRPr="00F96000">
        <w:rPr>
          <w:rFonts w:ascii="Calibri" w:eastAsia="Calibri" w:hAnsi="Calibri" w:cs="Calibri"/>
          <w:b/>
          <w:bCs/>
          <w:sz w:val="28"/>
          <w:szCs w:val="28"/>
        </w:rPr>
        <w:t>10.2.2A-FSEPON-PU-2017- 46</w:t>
      </w:r>
    </w:p>
    <w:p w:rsidR="00F96000" w:rsidRPr="00F96000" w:rsidRDefault="00C14E89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  <w:r>
        <w:rPr>
          <w:rFonts w:ascii="Calibri" w:eastAsia="Calibri" w:hAnsi="Calibri" w:cs="Calibri"/>
          <w:b/>
          <w:bCs/>
          <w:sz w:val="28"/>
          <w:szCs w:val="28"/>
        </w:rPr>
        <w:t>Modulo: “Ascoltare Leggere Comprendere</w:t>
      </w:r>
      <w:r w:rsidR="00F96000" w:rsidRPr="00F96000">
        <w:rPr>
          <w:rFonts w:ascii="Calibri" w:eastAsia="Calibri" w:hAnsi="Calibri" w:cs="Calibri"/>
          <w:b/>
          <w:bCs/>
          <w:sz w:val="28"/>
          <w:szCs w:val="28"/>
        </w:rPr>
        <w:t>”</w:t>
      </w:r>
    </w:p>
    <w:p w:rsidR="004A5181" w:rsidRPr="004A5181" w:rsidRDefault="004A5181" w:rsidP="00F96000">
      <w:pPr>
        <w:autoSpaceDE w:val="0"/>
        <w:autoSpaceDN w:val="0"/>
        <w:adjustRightInd w:val="0"/>
        <w:spacing w:after="0" w:line="240" w:lineRule="auto"/>
        <w:jc w:val="center"/>
        <w:rPr>
          <w:rFonts w:ascii="Calibri" w:eastAsia="Calibri" w:hAnsi="Calibri" w:cs="Calibri"/>
          <w:b/>
          <w:bCs/>
          <w:sz w:val="28"/>
          <w:szCs w:val="28"/>
        </w:rPr>
      </w:pPr>
    </w:p>
    <w:p w:rsidR="00E44551" w:rsidRDefault="00E44551" w:rsidP="004A5181"/>
    <w:p w:rsidR="00E44551" w:rsidRDefault="00E44551" w:rsidP="00E44551">
      <w:pPr>
        <w:jc w:val="center"/>
      </w:pPr>
    </w:p>
    <w:p w:rsidR="00E44551" w:rsidRPr="006B1463" w:rsidRDefault="00E44551" w:rsidP="00E44551">
      <w:pPr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r>
        <w:rPr>
          <w:rFonts w:ascii="Calibri" w:eastAsia="Calibri" w:hAnsi="Calibri" w:cs="Times New Roman"/>
          <w:b/>
          <w:color w:val="C00000"/>
          <w:sz w:val="28"/>
          <w:szCs w:val="28"/>
        </w:rPr>
        <w:t>GRAFICI</w:t>
      </w:r>
      <w:r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 xml:space="preserve"> DI CONFRONTO</w:t>
      </w:r>
    </w:p>
    <w:p w:rsidR="00E44551" w:rsidRDefault="004209A8" w:rsidP="00E44551">
      <w:pPr>
        <w:jc w:val="center"/>
      </w:pPr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4" o:spid="_x0000_s1026" type="#_x0000_t202" style="position:absolute;left:0;text-align:left;margin-left:25.8pt;margin-top:86.4pt;width:6in;height:25.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" fillcolor="#f8cbad" strokecolor="#c55a11" strokeweight=".5pt">
            <v:textbox>
              <w:txbxContent>
                <w:p w:rsidR="00E44551" w:rsidRPr="00350946" w:rsidRDefault="003B6077" w:rsidP="00E4455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</w:t>
                  </w:r>
                  <w:r w:rsidR="00C14E89">
                    <w:rPr>
                      <w:sz w:val="28"/>
                      <w:szCs w:val="28"/>
                    </w:rPr>
                    <w:t>ompetenza di comprensione</w:t>
                  </w:r>
                </w:p>
              </w:txbxContent>
            </v:textbox>
          </v:shape>
        </w:pict>
      </w:r>
      <w:r w:rsidR="00E44551" w:rsidRPr="006B1463">
        <w:rPr>
          <w:rFonts w:ascii="Calibri" w:eastAsia="Calibri" w:hAnsi="Calibri" w:cs="Times New Roman"/>
          <w:b/>
          <w:color w:val="C00000"/>
          <w:sz w:val="28"/>
          <w:szCs w:val="28"/>
        </w:rPr>
        <w:t>VALUTAZIONE INIZIALE/VALUTAZIONE FINALE</w:t>
      </w:r>
    </w:p>
    <w:p w:rsidR="00BD72C7" w:rsidRDefault="00BD72C7" w:rsidP="00E44551">
      <w:pPr>
        <w:tabs>
          <w:tab w:val="left" w:pos="3675"/>
        </w:tabs>
      </w:pPr>
    </w:p>
    <w:p w:rsidR="00BD72C7" w:rsidRPr="00BD72C7" w:rsidRDefault="00BD72C7" w:rsidP="00BD72C7"/>
    <w:p w:rsidR="00BD72C7" w:rsidRPr="00BD72C7" w:rsidRDefault="00C2460A" w:rsidP="00BD72C7">
      <w:r>
        <w:rPr>
          <w:noProof/>
          <w:lang w:eastAsia="it-IT"/>
        </w:rPr>
        <w:drawing>
          <wp:anchor distT="0" distB="0" distL="114300" distR="114300" simplePos="0" relativeHeight="251660800" behindDoc="0" locked="0" layoutInCell="1" allowOverlap="1" wp14:anchorId="22E06D57" wp14:editId="16CF77F4">
            <wp:simplePos x="0" y="0"/>
            <wp:positionH relativeFrom="margin">
              <wp:posOffset>314325</wp:posOffset>
            </wp:positionH>
            <wp:positionV relativeFrom="paragraph">
              <wp:posOffset>427355</wp:posOffset>
            </wp:positionV>
            <wp:extent cx="5486400" cy="3200400"/>
            <wp:effectExtent l="0" t="0" r="0" b="0"/>
            <wp:wrapSquare wrapText="bothSides"/>
            <wp:docPr id="6" name="Gra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C2460A" w:rsidRPr="00BD72C7" w:rsidRDefault="00C2460A" w:rsidP="00C2460A">
      <w:pPr>
        <w:tabs>
          <w:tab w:val="left" w:pos="8025"/>
        </w:tabs>
      </w:pPr>
    </w:p>
    <w:p w:rsidR="00C2460A" w:rsidRDefault="004209A8" w:rsidP="00BD72C7">
      <w:r>
        <w:rPr>
          <w:noProof/>
          <w:lang w:eastAsia="it-IT"/>
        </w:rPr>
        <w:pict>
          <v:shape id="_x0000_s1030" type="#_x0000_t202" style="position:absolute;margin-left:24pt;margin-top:-433.2pt;width:6in;height:25.5pt;z-index:25167052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C2460A" w:rsidRPr="00350946" w:rsidRDefault="00C2460A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Competenza risolutiva: di comprensione, procedurale, di calcolo</w:t>
                  </w:r>
                </w:p>
              </w:txbxContent>
            </v:textbox>
            <w10:wrap anchorx="margin"/>
          </v:shape>
        </w:pict>
      </w:r>
      <w:r w:rsidR="00C2460A"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 wp14:anchorId="1D9321AE" wp14:editId="307FBFA4">
            <wp:simplePos x="0" y="0"/>
            <wp:positionH relativeFrom="margin">
              <wp:posOffset>308610</wp:posOffset>
            </wp:positionH>
            <wp:positionV relativeFrom="paragraph">
              <wp:posOffset>499745</wp:posOffset>
            </wp:positionV>
            <wp:extent cx="5486400" cy="3200400"/>
            <wp:effectExtent l="19050" t="0" r="19050" b="0"/>
            <wp:wrapSquare wrapText="bothSides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noProof/>
          <w:lang w:eastAsia="it-IT"/>
        </w:rPr>
        <w:pict>
          <v:shape id="Casella di testo 8" o:spid="_x0000_s1027" type="#_x0000_t202" style="position:absolute;margin-left:24pt;margin-top:13.1pt;width:6in;height:25.5pt;z-index:251664384;visibility:visible;mso-position-horizontal-relative:margin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" fillcolor="#c5e0b4" strokecolor="#385723" strokeweight=".5pt">
            <v:textbox>
              <w:txbxContent>
                <w:p w:rsidR="00BD72C7" w:rsidRPr="00350946" w:rsidRDefault="003B6077" w:rsidP="00BD72C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Competenza </w:t>
                  </w:r>
                  <w:r w:rsidR="00C14E89">
                    <w:rPr>
                      <w:sz w:val="28"/>
                      <w:szCs w:val="28"/>
                    </w:rPr>
                    <w:t>testuale</w:t>
                  </w:r>
                </w:p>
              </w:txbxContent>
            </v:textbox>
            <w10:wrap anchorx="margin"/>
          </v:shape>
        </w:pict>
      </w:r>
    </w:p>
    <w:p w:rsidR="00BD72C7" w:rsidRPr="00BD72C7" w:rsidRDefault="00BD72C7" w:rsidP="00BD72C7"/>
    <w:p w:rsidR="00C2460A" w:rsidRDefault="0068777D" w:rsidP="00BD72C7">
      <w:pPr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0B1998BC" wp14:editId="70052781">
            <wp:simplePos x="0" y="0"/>
            <wp:positionH relativeFrom="margin">
              <wp:posOffset>314325</wp:posOffset>
            </wp:positionH>
            <wp:positionV relativeFrom="paragraph">
              <wp:posOffset>733425</wp:posOffset>
            </wp:positionV>
            <wp:extent cx="5486400" cy="3200400"/>
            <wp:effectExtent l="0" t="0" r="0" b="0"/>
            <wp:wrapSquare wrapText="bothSides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4209A8">
        <w:rPr>
          <w:rFonts w:ascii="Calibri" w:eastAsia="Calibri" w:hAnsi="Calibri" w:cs="Times New Roman"/>
          <w:noProof/>
          <w:sz w:val="28"/>
          <w:szCs w:val="28"/>
          <w:lang w:eastAsia="it-IT"/>
        </w:rPr>
        <w:pict>
          <v:shape id="_x0000_s1029" type="#_x0000_t202" style="position:absolute;left:0;text-align:left;margin-left:25.5pt;margin-top:31.55pt;width:6in;height:25.5pt;z-index:251669504;visibility:visible;mso-position-horizontal-relative:margin;mso-position-vertical-relative:text;mso-width-relative:margin;mso-height-relative:margin" fillcolor="#b8cce4 [1300]" strokecolor="#385723" strokeweight=".5pt">
            <v:textbox>
              <w:txbxContent>
                <w:p w:rsidR="00C2460A" w:rsidRPr="00350946" w:rsidRDefault="00F96000" w:rsidP="00C2460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Competenza </w:t>
                  </w:r>
                  <w:r w:rsidR="00C14E89">
                    <w:rPr>
                      <w:sz w:val="28"/>
                      <w:szCs w:val="28"/>
                    </w:rPr>
                    <w:t>elaborativa e rielaborativa</w:t>
                  </w:r>
                </w:p>
              </w:txbxContent>
            </v:textbox>
            <w10:wrap anchorx="margin"/>
          </v:shape>
        </w:pict>
      </w: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C2460A" w:rsidRDefault="00C2460A" w:rsidP="00BD72C7">
      <w:pPr>
        <w:jc w:val="both"/>
        <w:rPr>
          <w:rFonts w:ascii="Calibri" w:eastAsia="Calibri" w:hAnsi="Calibri" w:cs="Times New Roman"/>
          <w:sz w:val="28"/>
          <w:szCs w:val="28"/>
        </w:rPr>
      </w:pP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F96000" w:rsidRDefault="00F96000" w:rsidP="00916F25">
      <w:pPr>
        <w:spacing w:after="0"/>
        <w:jc w:val="both"/>
        <w:rPr>
          <w:rFonts w:ascii="Calibri" w:eastAsia="Calibri" w:hAnsi="Calibri" w:cs="Times New Roman"/>
          <w:sz w:val="28"/>
          <w:szCs w:val="28"/>
        </w:rPr>
      </w:pPr>
    </w:p>
    <w:p w:rsidR="00BD72C7" w:rsidRPr="00BD72C7" w:rsidRDefault="00BD72C7" w:rsidP="002F1C03">
      <w:pPr>
        <w:spacing w:after="0"/>
        <w:jc w:val="both"/>
      </w:pPr>
      <w:r>
        <w:rPr>
          <w:rFonts w:ascii="Calibri" w:eastAsia="Calibri" w:hAnsi="Calibri" w:cs="Times New Roman"/>
          <w:sz w:val="28"/>
          <w:szCs w:val="28"/>
        </w:rPr>
        <w:t>Dai grafici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 di confronto tra la valutazione iniziale e quella finale delle competenze</w:t>
      </w:r>
      <w:r>
        <w:rPr>
          <w:rFonts w:ascii="Calibri" w:eastAsia="Calibri" w:hAnsi="Calibri" w:cs="Times New Roman"/>
          <w:sz w:val="28"/>
          <w:szCs w:val="28"/>
        </w:rPr>
        <w:t xml:space="preserve">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si evince che l’intero percorso formativo ha avuto una </w:t>
      </w:r>
      <w:r>
        <w:rPr>
          <w:rFonts w:ascii="Calibri" w:eastAsia="Calibri" w:hAnsi="Calibri" w:cs="Times New Roman"/>
          <w:sz w:val="28"/>
          <w:szCs w:val="28"/>
        </w:rPr>
        <w:t xml:space="preserve">significativa </w:t>
      </w:r>
      <w:r w:rsidRPr="000277DA">
        <w:rPr>
          <w:rFonts w:ascii="Calibri" w:eastAsia="Calibri" w:hAnsi="Calibri" w:cs="Times New Roman"/>
          <w:sz w:val="28"/>
          <w:szCs w:val="28"/>
        </w:rPr>
        <w:t xml:space="preserve">incisività sull’acquisizione delle competenze prese in esame. </w:t>
      </w:r>
      <w:r w:rsidR="00AE4360">
        <w:rPr>
          <w:rFonts w:ascii="Calibri" w:eastAsia="Calibri" w:hAnsi="Calibri" w:cs="Times New Roman"/>
          <w:sz w:val="28"/>
          <w:szCs w:val="28"/>
        </w:rPr>
        <w:t xml:space="preserve">Infatti </w:t>
      </w:r>
      <w:r w:rsidR="00F87466">
        <w:rPr>
          <w:rFonts w:ascii="Calibri" w:eastAsia="Calibri" w:hAnsi="Calibri" w:cs="Times New Roman"/>
          <w:sz w:val="28"/>
          <w:szCs w:val="28"/>
        </w:rPr>
        <w:t xml:space="preserve">per quanto riguarda 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tutte le competenze prese in considerazione </w:t>
      </w:r>
      <w:r w:rsidR="00C14E89">
        <w:rPr>
          <w:rFonts w:ascii="Calibri" w:eastAsia="Calibri" w:hAnsi="Calibri" w:cs="Times New Roman"/>
          <w:sz w:val="28"/>
          <w:szCs w:val="28"/>
        </w:rPr>
        <w:t xml:space="preserve">è diminuita 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la percentuale dei corsisti nel livello </w:t>
      </w:r>
      <w:r w:rsidR="00C14E89">
        <w:rPr>
          <w:rFonts w:ascii="Calibri" w:eastAsia="Calibri" w:hAnsi="Calibri" w:cs="Times New Roman"/>
          <w:sz w:val="28"/>
          <w:szCs w:val="28"/>
        </w:rPr>
        <w:t xml:space="preserve">“base” </w:t>
      </w:r>
      <w:r w:rsidR="002F1C03">
        <w:rPr>
          <w:rFonts w:ascii="Calibri" w:eastAsia="Calibri" w:hAnsi="Calibri" w:cs="Times New Roman"/>
          <w:sz w:val="28"/>
          <w:szCs w:val="28"/>
        </w:rPr>
        <w:t>ed è aumentata la percentuale degli</w:t>
      </w:r>
      <w:r w:rsidR="00C14E89">
        <w:rPr>
          <w:rFonts w:ascii="Calibri" w:eastAsia="Calibri" w:hAnsi="Calibri" w:cs="Times New Roman"/>
          <w:sz w:val="28"/>
          <w:szCs w:val="28"/>
        </w:rPr>
        <w:t xml:space="preserve"> alunni che si è posizionata nei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 l</w:t>
      </w:r>
      <w:r w:rsidR="00C14E89">
        <w:rPr>
          <w:rFonts w:ascii="Calibri" w:eastAsia="Calibri" w:hAnsi="Calibri" w:cs="Times New Roman"/>
          <w:sz w:val="28"/>
          <w:szCs w:val="28"/>
        </w:rPr>
        <w:t>ivelli più alti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 </w:t>
      </w:r>
      <w:r w:rsidR="004209A8">
        <w:rPr>
          <w:rFonts w:ascii="Calibri" w:eastAsia="Calibri" w:hAnsi="Calibri" w:cs="Times New Roman"/>
          <w:sz w:val="28"/>
          <w:szCs w:val="28"/>
        </w:rPr>
        <w:t>“intermedio” e/o</w:t>
      </w:r>
      <w:r w:rsidR="002F1C03">
        <w:rPr>
          <w:rFonts w:ascii="Calibri" w:eastAsia="Calibri" w:hAnsi="Calibri" w:cs="Times New Roman"/>
          <w:sz w:val="28"/>
          <w:szCs w:val="28"/>
        </w:rPr>
        <w:t>“avanzato”.</w:t>
      </w:r>
      <w:r w:rsidR="004209A8">
        <w:rPr>
          <w:rFonts w:ascii="Calibri" w:eastAsia="Calibri" w:hAnsi="Calibri" w:cs="Times New Roman"/>
          <w:sz w:val="28"/>
          <w:szCs w:val="28"/>
        </w:rPr>
        <w:t xml:space="preserve"> In particolare r</w:t>
      </w:r>
      <w:r w:rsidR="002F1C03">
        <w:rPr>
          <w:rFonts w:ascii="Calibri" w:eastAsia="Calibri" w:hAnsi="Calibri" w:cs="Times New Roman"/>
          <w:sz w:val="28"/>
          <w:szCs w:val="28"/>
        </w:rPr>
        <w:t xml:space="preserve">ispetto alla valutazione iniziale per la competenza </w:t>
      </w:r>
      <w:r w:rsidR="004209A8">
        <w:rPr>
          <w:rFonts w:ascii="Calibri" w:eastAsia="Calibri" w:hAnsi="Calibri" w:cs="Times New Roman"/>
          <w:sz w:val="28"/>
          <w:szCs w:val="28"/>
        </w:rPr>
        <w:t>di comprensione si è azzerata la percentuale dei corsisti nel livello “base”, è leggermente diminuita quella nel livello “intermedio” a tutto vantaggio della percentuale nel livello più alto in assoluto che è quello “avanzato”. Per quanto riguarda la competenza testuale è diminuita la percentuale degli alunni nel livello “base” mentre sono aumentate le percentuali nel livello “intermedio” e soprattutto “avanzato”. Infine per la competenza elaborativa e rielaborativa la percentuale dei corsisti nel livello “intermedio” è rimasta invariata mentre è diminuita quella nel livello “base” a vantaggio del livello “avanzato”.</w:t>
      </w:r>
      <w:bookmarkStart w:id="0" w:name="_GoBack"/>
      <w:bookmarkEnd w:id="0"/>
    </w:p>
    <w:p w:rsidR="00BD72C7" w:rsidRPr="00BD72C7" w:rsidRDefault="00BD72C7" w:rsidP="00BD72C7"/>
    <w:p w:rsidR="00BD72C7" w:rsidRPr="00BD72C7" w:rsidRDefault="00BD72C7" w:rsidP="00BD72C7"/>
    <w:p w:rsidR="00BD72C7" w:rsidRDefault="00BD72C7" w:rsidP="00BD72C7"/>
    <w:p w:rsidR="00DF2684" w:rsidRPr="00BD72C7" w:rsidRDefault="00BD72C7" w:rsidP="00BD72C7">
      <w:pPr>
        <w:tabs>
          <w:tab w:val="left" w:pos="3645"/>
        </w:tabs>
      </w:pPr>
      <w:r>
        <w:tab/>
      </w:r>
    </w:p>
    <w:sectPr w:rsidR="00DF2684" w:rsidRPr="00BD72C7" w:rsidSect="00DF26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E44551"/>
    <w:rsid w:val="000D0F4C"/>
    <w:rsid w:val="002F1C03"/>
    <w:rsid w:val="003049AC"/>
    <w:rsid w:val="00313D91"/>
    <w:rsid w:val="00395873"/>
    <w:rsid w:val="003B6077"/>
    <w:rsid w:val="004209A8"/>
    <w:rsid w:val="004A5181"/>
    <w:rsid w:val="0067465D"/>
    <w:rsid w:val="00675D50"/>
    <w:rsid w:val="0068777D"/>
    <w:rsid w:val="00916F25"/>
    <w:rsid w:val="009F577C"/>
    <w:rsid w:val="00A43F0B"/>
    <w:rsid w:val="00AE4360"/>
    <w:rsid w:val="00BD21FE"/>
    <w:rsid w:val="00BD72C7"/>
    <w:rsid w:val="00C14E89"/>
    <w:rsid w:val="00C2460A"/>
    <w:rsid w:val="00CA1F7D"/>
    <w:rsid w:val="00CB544C"/>
    <w:rsid w:val="00DC5D3B"/>
    <w:rsid w:val="00DF2684"/>
    <w:rsid w:val="00E44551"/>
    <w:rsid w:val="00ED3069"/>
    <w:rsid w:val="00F87466"/>
    <w:rsid w:val="00F9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27595E8"/>
  <w15:docId w15:val="{ED068FA4-130C-4EBB-A416-EBEF12C52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F26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oglio_di_lavoro_di_Microsoft_Excel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8.0935586176727914E-2"/>
          <c:y val="2.1795713035870516E-2"/>
          <c:w val="0.89360145086030918"/>
          <c:h val="0.773518310211223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0.08</c:v>
                </c:pt>
                <c:pt idx="2">
                  <c:v>0.36</c:v>
                </c:pt>
                <c:pt idx="3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B5-4648-B283-2A188512BDCE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0.32</c:v>
                </c:pt>
                <c:pt idx="3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B5-4648-B283-2A188512BD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0.24</c:v>
                </c:pt>
                <c:pt idx="2">
                  <c:v>0.32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184-40A4-8F4F-37C87B7BB5C2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0.04</c:v>
                </c:pt>
                <c:pt idx="2">
                  <c:v>0.4</c:v>
                </c:pt>
                <c:pt idx="3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184-40A4-8F4F-37C87B7BB5C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 w="9525" cap="flat" cmpd="sng" algn="ctr">
          <a:noFill/>
          <a:prstDash val="solid"/>
          <a:round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Foglio1!$B$1</c:f>
              <c:strCache>
                <c:ptCount val="1"/>
                <c:pt idx="0">
                  <c:v>Valutazione iniziale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Foglio1!$B$2:$B$5</c:f>
              <c:numCache>
                <c:formatCode>0%</c:formatCode>
                <c:ptCount val="4"/>
                <c:pt idx="0">
                  <c:v>0</c:v>
                </c:pt>
                <c:pt idx="1">
                  <c:v>0.16</c:v>
                </c:pt>
                <c:pt idx="2">
                  <c:v>0.4</c:v>
                </c:pt>
                <c:pt idx="3">
                  <c:v>0.44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9BA-4B54-9927-3DB07364625F}"/>
            </c:ext>
          </c:extLst>
        </c:ser>
        <c:ser>
          <c:idx val="1"/>
          <c:order val="1"/>
          <c:tx>
            <c:strRef>
              <c:f>Foglio1!$C$1</c:f>
              <c:strCache>
                <c:ptCount val="1"/>
                <c:pt idx="0">
                  <c:v>Valutazione finale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Foglio1!$A$2:$A$5</c:f>
              <c:strCache>
                <c:ptCount val="4"/>
                <c:pt idx="0">
                  <c:v>Iniziale</c:v>
                </c:pt>
                <c:pt idx="1">
                  <c:v>Base</c:v>
                </c:pt>
                <c:pt idx="2">
                  <c:v>Intermedio</c:v>
                </c:pt>
                <c:pt idx="3">
                  <c:v>Avanzato</c:v>
                </c:pt>
              </c:strCache>
            </c:strRef>
          </c:cat>
          <c:val>
            <c:numRef>
              <c:f>Foglio1!$C$2:$C$5</c:f>
              <c:numCache>
                <c:formatCode>0%</c:formatCode>
                <c:ptCount val="4"/>
                <c:pt idx="0">
                  <c:v>0</c:v>
                </c:pt>
                <c:pt idx="1">
                  <c:v>0.12</c:v>
                </c:pt>
                <c:pt idx="2">
                  <c:v>0.4</c:v>
                </c:pt>
                <c:pt idx="3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BA-4B54-9927-3DB0736462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10798336"/>
        <c:axId val="110799872"/>
        <c:axId val="0"/>
      </c:bar3DChart>
      <c:catAx>
        <c:axId val="110798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9872"/>
        <c:crosses val="autoZero"/>
        <c:auto val="1"/>
        <c:lblAlgn val="ctr"/>
        <c:lblOffset val="100"/>
        <c:noMultiLvlLbl val="0"/>
      </c:catAx>
      <c:valAx>
        <c:axId val="110799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prstDash val="solid"/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110798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prstDash val="solid"/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102">
  <cs:axisTitle>
    <cs:lnRef idx="0"/>
    <cs:fillRef idx="0"/>
    <cs:effectRef idx="0"/>
    <cs:fontRef idx="minor">
      <a:schemeClr val="tx1"/>
    </cs:fontRef>
    <cs:defRPr sz="1000" b="1" kern="1200"/>
  </cs:axisTitle>
  <cs:category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categoryAxis>
  <cs:chartArea mods="allowNoFillOverride allowNoLineOverride">
    <cs:lnRef idx="1">
      <a:schemeClr val="tx1">
        <a:tint val="75000"/>
      </a:schemeClr>
    </cs:lnRef>
    <cs:fillRef idx="1">
      <a:schemeClr val="bg1"/>
    </cs:fillRef>
    <cs:effectRef idx="0"/>
    <cs:fontRef idx="minor">
      <a:schemeClr val="tx1"/>
    </cs:fontRef>
    <cs:spPr>
      <a:ln>
        <a:round/>
      </a:ln>
    </cs:spPr>
    <cs:defRPr sz="1000" kern="1200"/>
  </cs:chartArea>
  <cs:dataLabel>
    <cs:lnRef idx="0"/>
    <cs:fillRef idx="0"/>
    <cs:effectRef idx="0"/>
    <cs:fontRef idx="minor">
      <a:schemeClr val="tx1"/>
    </cs:fontRef>
    <cs:defRPr sz="1000" kern="1200"/>
  </cs:dataLabel>
  <cs:dataLabelCallout>
    <cs:lnRef idx="0"/>
    <cs:fillRef idx="0"/>
    <cs:effectRef idx="0"/>
    <cs:fontRef idx="minor">
      <a:schemeClr val="dk1"/>
    </cs:fontRef>
    <cs:spPr>
      <a:solidFill>
        <a:schemeClr val="lt1"/>
      </a:solidFill>
      <a:ln>
        <a:solidFill>
          <a:schemeClr val="dk1">
            <a:lumMod val="65000"/>
            <a:lumOff val="35000"/>
          </a:schemeClr>
        </a:solidFill>
      </a:ln>
    </cs:spPr>
    <cs:defRPr sz="1000" kern="1200"/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1">
      <cs:styleClr val="auto"/>
    </cs:lnRef>
    <cs:lineWidthScale>3</cs:lineWidthScale>
    <cs:fillRef idx="0"/>
    <cs:effectRef idx="0"/>
    <cs:fontRef idx="minor">
      <a:schemeClr val="tx1"/>
    </cs:fontRef>
    <cs:spPr>
      <a:ln cap="rnd">
        <a:round/>
      </a:ln>
    </cs:spPr>
  </cs:dataPointLine>
  <cs:dataPointMarker>
    <cs:lnRef idx="1">
      <cs:styleClr val="auto"/>
    </cs:lnRef>
    <cs:fillRef idx="1">
      <cs:styleClr val="auto"/>
    </cs:fillRef>
    <cs:effectRef idx="0"/>
    <cs:fontRef idx="minor">
      <a:schemeClr val="tx1"/>
    </cs:fontRef>
    <cs:spPr>
      <a:ln>
        <a:round/>
      </a:ln>
    </cs:spPr>
  </cs:dataPointMarker>
  <cs:dataPointMarkerLayout/>
  <cs:dataPointWireframe>
    <cs:lnRef idx="1">
      <cs:styleClr val="auto"/>
    </cs:lnRef>
    <cs:fillRef idx="0"/>
    <cs:effectRef idx="0"/>
    <cs:fontRef idx="minor">
      <a:schemeClr val="tx1"/>
    </cs:fontRef>
    <cs:spPr>
      <a:ln>
        <a:round/>
      </a:ln>
    </cs:spPr>
  </cs:dataPointWireframe>
  <cs:dataTable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dataTable>
  <cs:downBar>
    <cs:lnRef idx="1">
      <a:schemeClr val="tx1"/>
    </cs:lnRef>
    <cs:fillRef idx="1">
      <a:schemeClr val="dk1">
        <a:tint val="95000"/>
      </a:schemeClr>
    </cs:fillRef>
    <cs:effectRef idx="0"/>
    <cs:fontRef idx="minor">
      <a:schemeClr val="tx1"/>
    </cs:fontRef>
    <cs:spPr>
      <a:ln>
        <a:round/>
      </a:ln>
    </cs:spPr>
  </cs:downBar>
  <cs:drop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dropLine>
  <cs:errorBar>
    <cs:lnRef idx="1">
      <a:schemeClr val="tx1"/>
    </cs:lnRef>
    <cs:fillRef idx="1">
      <a:schemeClr val="tx1"/>
    </cs:fillRef>
    <cs:effectRef idx="0"/>
    <cs:fontRef idx="minor">
      <a:schemeClr val="tx1"/>
    </cs:fontRef>
    <cs:spPr>
      <a:ln>
        <a:round/>
      </a:ln>
    </cs:spPr>
  </cs:errorBar>
  <cs:flo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floor>
  <cs:gridlineMajor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</cs:gridlineMajor>
  <cs:gridlineMinor>
    <cs:lnRef idx="1">
      <a:schemeClr val="tx1">
        <a:tint val="50000"/>
      </a:schemeClr>
    </cs:lnRef>
    <cs:fillRef idx="0"/>
    <cs:effectRef idx="0"/>
    <cs:fontRef idx="minor">
      <a:schemeClr val="tx1"/>
    </cs:fontRef>
    <cs:spPr>
      <a:ln>
        <a:round/>
      </a:ln>
    </cs:spPr>
  </cs:gridlineMinor>
  <cs:hiLo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hiLoLine>
  <cs:leader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leaderLine>
  <cs:legend>
    <cs:lnRef idx="0"/>
    <cs:fillRef idx="0"/>
    <cs:effectRef idx="0"/>
    <cs:fontRef idx="minor">
      <a:schemeClr val="tx1"/>
    </cs:fontRef>
    <cs:defRPr sz="1000" kern="1200"/>
  </cs:legend>
  <cs:plotArea mods="allowNoFillOverride allowNoLineOverride">
    <cs:lnRef idx="0"/>
    <cs:fillRef idx="1">
      <a:schemeClr val="bg1"/>
    </cs:fillRef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seriesAxis>
  <cs:seriesLine>
    <cs:lnRef idx="1">
      <a:schemeClr val="tx1"/>
    </cs:lnRef>
    <cs:fillRef idx="0"/>
    <cs:effectRef idx="0"/>
    <cs:fontRef idx="minor">
      <a:schemeClr val="tx1"/>
    </cs:fontRef>
    <cs:spPr>
      <a:ln>
        <a:round/>
      </a:ln>
    </cs:spPr>
  </cs:seriesLine>
  <cs:title>
    <cs:lnRef idx="0"/>
    <cs:fillRef idx="0"/>
    <cs:effectRef idx="0"/>
    <cs:fontRef idx="minor">
      <a:schemeClr val="tx1"/>
    </cs:fontRef>
    <cs:defRPr sz="1800" b="1" kern="1200"/>
  </cs:title>
  <cs:trendline>
    <cs:lnRef idx="1">
      <a:schemeClr val="tx1"/>
    </cs:lnRef>
    <cs:fillRef idx="0"/>
    <cs:effectRef idx="0"/>
    <cs:fontRef idx="minor">
      <a:schemeClr val="tx1"/>
    </cs:fontRef>
    <cs:spPr>
      <a:ln cap="rnd">
        <a:round/>
      </a:ln>
    </cs:spPr>
  </cs:trendline>
  <cs:trendlineLabel>
    <cs:lnRef idx="0"/>
    <cs:fillRef idx="0"/>
    <cs:effectRef idx="0"/>
    <cs:fontRef idx="minor">
      <a:schemeClr val="tx1"/>
    </cs:fontRef>
    <cs:defRPr sz="1000" kern="1200"/>
  </cs:trendlineLabel>
  <cs:upBar>
    <cs:lnRef idx="1">
      <a:schemeClr val="tx1"/>
    </cs:lnRef>
    <cs:fillRef idx="1">
      <a:schemeClr val="dk1">
        <a:tint val="5000"/>
      </a:schemeClr>
    </cs:fillRef>
    <cs:effectRef idx="0"/>
    <cs:fontRef idx="minor">
      <a:schemeClr val="tx1"/>
    </cs:fontRef>
    <cs:spPr>
      <a:ln>
        <a:round/>
      </a:ln>
    </cs:spPr>
  </cs:upBar>
  <cs:valueAxis>
    <cs:lnRef idx="1">
      <a:schemeClr val="tx1">
        <a:tint val="75000"/>
      </a:schemeClr>
    </cs:lnRef>
    <cs:fillRef idx="0"/>
    <cs:effectRef idx="0"/>
    <cs:fontRef idx="minor">
      <a:schemeClr val="tx1"/>
    </cs:fontRef>
    <cs:spPr>
      <a:ln>
        <a:round/>
      </a:ln>
    </cs:spPr>
    <cs:defRPr sz="10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 Olivieri</dc:creator>
  <cp:lastModifiedBy>Flora</cp:lastModifiedBy>
  <cp:revision>19</cp:revision>
  <dcterms:created xsi:type="dcterms:W3CDTF">2018-06-12T07:23:00Z</dcterms:created>
  <dcterms:modified xsi:type="dcterms:W3CDTF">2019-06-02T18:47:00Z</dcterms:modified>
</cp:coreProperties>
</file>