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551" w:rsidRDefault="00E44551">
      <w:r w:rsidRPr="00E44551"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-347345</wp:posOffset>
            </wp:positionV>
            <wp:extent cx="3117850" cy="723900"/>
            <wp:effectExtent l="19050" t="0" r="6350" b="0"/>
            <wp:wrapSquare wrapText="bothSides"/>
            <wp:docPr id="2" name="Immagine 2" descr="G:\Flora\PON Inclusione 201-18\Loghi PON 2014-2020 (fesr) cor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G:\Flora\PON Inclusione 201-18\Loghi PON 2014-2020 (fesr) cort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44551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-347345</wp:posOffset>
            </wp:positionV>
            <wp:extent cx="3133725" cy="742950"/>
            <wp:effectExtent l="19050" t="0" r="9525" b="0"/>
            <wp:wrapSquare wrapText="bothSides"/>
            <wp:docPr id="1" name="Immagine 1" descr="testata nuova comprens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testata nuova comprensiv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44551" w:rsidRDefault="00E44551" w:rsidP="00E44551"/>
    <w:p w:rsidR="00F96000" w:rsidRPr="00F96000" w:rsidRDefault="00E44551" w:rsidP="00F9600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>
        <w:tab/>
      </w:r>
      <w:r w:rsidR="00F96000" w:rsidRPr="00F96000">
        <w:rPr>
          <w:rFonts w:ascii="Calibri" w:eastAsia="Calibri" w:hAnsi="Calibri" w:cs="Calibri"/>
          <w:b/>
          <w:sz w:val="28"/>
          <w:szCs w:val="28"/>
        </w:rPr>
        <w:t>Fondi Strutturali Europei – Programma Operativo Nazionale “Per la scuola, competenze e ambienti per l’apprendimento” 2014-2020</w:t>
      </w:r>
      <w:r w:rsidR="00F96000" w:rsidRPr="00F96000">
        <w:rPr>
          <w:rFonts w:ascii="Calibri" w:eastAsia="Calibri" w:hAnsi="Calibri" w:cs="Calibri"/>
          <w:sz w:val="28"/>
          <w:szCs w:val="28"/>
        </w:rPr>
        <w:t>.</w:t>
      </w:r>
      <w:r w:rsidR="00F96000" w:rsidRPr="00F96000">
        <w:rPr>
          <w:rFonts w:ascii="Calibri" w:eastAsia="Calibri" w:hAnsi="Calibri" w:cs="Calibri"/>
          <w:b/>
          <w:bCs/>
          <w:sz w:val="28"/>
          <w:szCs w:val="28"/>
          <w:lang w:eastAsia="it-IT"/>
        </w:rPr>
        <w:t xml:space="preserve"> Obiettivo Specifico</w:t>
      </w:r>
      <w:r w:rsidR="00F96000" w:rsidRPr="00F96000">
        <w:rPr>
          <w:rFonts w:ascii="Calibri" w:eastAsia="Calibri" w:hAnsi="Calibri" w:cs="Calibri"/>
          <w:b/>
          <w:bCs/>
          <w:color w:val="1F497D"/>
          <w:sz w:val="28"/>
          <w:szCs w:val="28"/>
          <w:lang w:eastAsia="it-IT"/>
        </w:rPr>
        <w:t xml:space="preserve"> </w:t>
      </w:r>
      <w:r w:rsidR="00F96000" w:rsidRPr="00F96000">
        <w:rPr>
          <w:rFonts w:ascii="Calibri" w:eastAsia="Calibri" w:hAnsi="Calibri" w:cs="Calibri"/>
          <w:b/>
          <w:bCs/>
          <w:sz w:val="28"/>
          <w:szCs w:val="28"/>
          <w:lang w:eastAsia="it-IT"/>
        </w:rPr>
        <w:t xml:space="preserve">10.2 Miglioramento delle competenze chiave degli allievi - Azione 10.2.2 - </w:t>
      </w:r>
      <w:r w:rsidR="00F96000" w:rsidRPr="00F96000">
        <w:rPr>
          <w:rFonts w:ascii="Calibri" w:eastAsia="Calibri" w:hAnsi="Calibri" w:cs="Calibri"/>
          <w:b/>
          <w:bCs/>
          <w:color w:val="000000"/>
          <w:sz w:val="28"/>
          <w:szCs w:val="28"/>
        </w:rPr>
        <w:t>Azioni di integrazione e potenziamento disciplinari di base (lingua italiana, lingue straniere, matematica, scienze, nuove tecnologie e nuovi linguaggi).</w:t>
      </w:r>
    </w:p>
    <w:p w:rsidR="00F96000" w:rsidRPr="00F96000" w:rsidRDefault="00F96000" w:rsidP="00F9600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8"/>
          <w:szCs w:val="28"/>
        </w:rPr>
      </w:pPr>
      <w:r w:rsidRPr="00F96000">
        <w:rPr>
          <w:rFonts w:ascii="Calibri" w:eastAsia="Calibri" w:hAnsi="Calibri" w:cs="Calibri"/>
          <w:b/>
          <w:bCs/>
          <w:color w:val="000000"/>
          <w:sz w:val="28"/>
          <w:szCs w:val="28"/>
        </w:rPr>
        <w:t>Sotto-azioni  10.2.2.A Competenze di base.</w:t>
      </w:r>
    </w:p>
    <w:p w:rsidR="00F96000" w:rsidRPr="00F96000" w:rsidRDefault="00F96000" w:rsidP="00F9600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F96000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Progetto </w:t>
      </w:r>
      <w:r w:rsidRPr="00F96000"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  <w:t xml:space="preserve">GLI ALFABETI PER DIVENTARE GRANDI - </w:t>
      </w:r>
      <w:r w:rsidRPr="00F96000">
        <w:rPr>
          <w:rFonts w:ascii="Calibri" w:eastAsia="Calibri" w:hAnsi="Calibri" w:cs="Calibri"/>
          <w:b/>
          <w:bCs/>
          <w:color w:val="000000"/>
          <w:sz w:val="28"/>
          <w:szCs w:val="28"/>
        </w:rPr>
        <w:t>Codice</w:t>
      </w:r>
      <w:r w:rsidRPr="00F96000"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  <w:t xml:space="preserve"> </w:t>
      </w:r>
      <w:r w:rsidRPr="00F96000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identificativo </w:t>
      </w:r>
      <w:r w:rsidRPr="00F96000">
        <w:rPr>
          <w:rFonts w:ascii="Calibri" w:eastAsia="Calibri" w:hAnsi="Calibri" w:cs="Calibri"/>
          <w:b/>
          <w:bCs/>
          <w:sz w:val="28"/>
          <w:szCs w:val="28"/>
        </w:rPr>
        <w:t>10.2.2A-FSEPON-PU-2017- 46</w:t>
      </w:r>
    </w:p>
    <w:p w:rsidR="00F96000" w:rsidRPr="00F96000" w:rsidRDefault="00F96000" w:rsidP="00F9600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F96000">
        <w:rPr>
          <w:rFonts w:ascii="Calibri" w:eastAsia="Calibri" w:hAnsi="Calibri" w:cs="Calibri"/>
          <w:b/>
          <w:bCs/>
          <w:sz w:val="28"/>
          <w:szCs w:val="28"/>
        </w:rPr>
        <w:t>Modulo: “English Club”</w:t>
      </w:r>
    </w:p>
    <w:p w:rsidR="004A5181" w:rsidRPr="004A5181" w:rsidRDefault="004A5181" w:rsidP="00F9600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E44551" w:rsidRDefault="00E44551" w:rsidP="004A5181"/>
    <w:p w:rsidR="00E44551" w:rsidRDefault="00E44551" w:rsidP="00E44551">
      <w:pPr>
        <w:jc w:val="center"/>
      </w:pPr>
    </w:p>
    <w:p w:rsidR="00E44551" w:rsidRPr="006B1463" w:rsidRDefault="00E44551" w:rsidP="00E44551">
      <w:pPr>
        <w:jc w:val="center"/>
        <w:rPr>
          <w:rFonts w:ascii="Calibri" w:eastAsia="Calibri" w:hAnsi="Calibri" w:cs="Times New Roman"/>
          <w:b/>
          <w:color w:val="C00000"/>
          <w:sz w:val="28"/>
          <w:szCs w:val="28"/>
        </w:rPr>
      </w:pPr>
      <w:r>
        <w:rPr>
          <w:rFonts w:ascii="Calibri" w:eastAsia="Calibri" w:hAnsi="Calibri" w:cs="Times New Roman"/>
          <w:b/>
          <w:color w:val="C00000"/>
          <w:sz w:val="28"/>
          <w:szCs w:val="28"/>
        </w:rPr>
        <w:t>GRAFICI</w:t>
      </w:r>
      <w:r w:rsidRPr="006B1463">
        <w:rPr>
          <w:rFonts w:ascii="Calibri" w:eastAsia="Calibri" w:hAnsi="Calibri" w:cs="Times New Roman"/>
          <w:b/>
          <w:color w:val="C00000"/>
          <w:sz w:val="28"/>
          <w:szCs w:val="28"/>
        </w:rPr>
        <w:t xml:space="preserve"> DI CONFRONTO</w:t>
      </w:r>
    </w:p>
    <w:p w:rsidR="00E44551" w:rsidRDefault="009F577C" w:rsidP="00E44551">
      <w:pPr>
        <w:jc w:val="center"/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left:0;text-align:left;margin-left:25.8pt;margin-top:86.4pt;width:6in;height:25.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" fillcolor="#f8cbad" strokecolor="#c55a11" strokeweight=".5pt">
            <v:textbox>
              <w:txbxContent>
                <w:p w:rsidR="00E44551" w:rsidRPr="00350946" w:rsidRDefault="003B6077" w:rsidP="00E4455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</w:t>
                  </w:r>
                  <w:r w:rsidR="00F96000">
                    <w:rPr>
                      <w:sz w:val="28"/>
                      <w:szCs w:val="28"/>
                    </w:rPr>
                    <w:t>ompetenza Listening</w:t>
                  </w:r>
                </w:p>
              </w:txbxContent>
            </v:textbox>
          </v:shape>
        </w:pict>
      </w:r>
      <w:r w:rsidR="00E44551" w:rsidRPr="006B1463">
        <w:rPr>
          <w:rFonts w:ascii="Calibri" w:eastAsia="Calibri" w:hAnsi="Calibri" w:cs="Times New Roman"/>
          <w:b/>
          <w:color w:val="C00000"/>
          <w:sz w:val="28"/>
          <w:szCs w:val="28"/>
        </w:rPr>
        <w:t>VALUTAZIONE INIZIALE/VALUTAZIONE FINALE</w:t>
      </w:r>
    </w:p>
    <w:p w:rsidR="00BD72C7" w:rsidRDefault="00BD72C7" w:rsidP="00E44551">
      <w:pPr>
        <w:tabs>
          <w:tab w:val="left" w:pos="3675"/>
        </w:tabs>
      </w:pPr>
    </w:p>
    <w:p w:rsidR="00BD72C7" w:rsidRPr="00BD72C7" w:rsidRDefault="00BD72C7" w:rsidP="00BD72C7"/>
    <w:p w:rsidR="00BD72C7" w:rsidRPr="00BD72C7" w:rsidRDefault="00C2460A" w:rsidP="00BD72C7">
      <w:r>
        <w:rPr>
          <w:noProof/>
          <w:lang w:eastAsia="it-IT"/>
        </w:rPr>
        <w:drawing>
          <wp:anchor distT="0" distB="0" distL="114300" distR="114300" simplePos="0" relativeHeight="251660800" behindDoc="0" locked="0" layoutInCell="1" allowOverlap="1" wp14:anchorId="22E06D57" wp14:editId="16CF77F4">
            <wp:simplePos x="0" y="0"/>
            <wp:positionH relativeFrom="margin">
              <wp:posOffset>314325</wp:posOffset>
            </wp:positionH>
            <wp:positionV relativeFrom="paragraph">
              <wp:posOffset>427355</wp:posOffset>
            </wp:positionV>
            <wp:extent cx="5486400" cy="3200400"/>
            <wp:effectExtent l="0" t="0" r="0" b="0"/>
            <wp:wrapSquare wrapText="bothSides"/>
            <wp:docPr id="6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C2460A" w:rsidRPr="00BD72C7" w:rsidRDefault="00C2460A" w:rsidP="00C2460A">
      <w:pPr>
        <w:tabs>
          <w:tab w:val="left" w:pos="8025"/>
        </w:tabs>
      </w:pPr>
    </w:p>
    <w:p w:rsidR="00C2460A" w:rsidRDefault="009F577C" w:rsidP="00BD72C7">
      <w:r>
        <w:rPr>
          <w:noProof/>
          <w:lang w:eastAsia="it-IT"/>
        </w:rPr>
        <w:pict>
          <v:shape id="_x0000_s1030" type="#_x0000_t202" style="position:absolute;margin-left:24pt;margin-top:-433.2pt;width:6in;height:25.5pt;z-index:25167052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" fillcolor="#c5e0b4" strokecolor="#385723" strokeweight=".5pt">
            <v:textbox>
              <w:txbxContent>
                <w:p w:rsidR="00C2460A" w:rsidRPr="00350946" w:rsidRDefault="00C2460A" w:rsidP="00C2460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Competenza risolutiva: di comprensione, procedurale, di calcolo</w:t>
                  </w:r>
                </w:p>
              </w:txbxContent>
            </v:textbox>
            <w10:wrap anchorx="margin"/>
          </v:shape>
        </w:pict>
      </w:r>
      <w:r w:rsidR="00C2460A"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1D9321AE" wp14:editId="307FBFA4">
            <wp:simplePos x="0" y="0"/>
            <wp:positionH relativeFrom="margin">
              <wp:posOffset>308610</wp:posOffset>
            </wp:positionH>
            <wp:positionV relativeFrom="paragraph">
              <wp:posOffset>499745</wp:posOffset>
            </wp:positionV>
            <wp:extent cx="5486400" cy="3200400"/>
            <wp:effectExtent l="19050" t="0" r="19050" b="0"/>
            <wp:wrapSquare wrapText="bothSides"/>
            <wp:docPr id="7" name="Gra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>
        <w:rPr>
          <w:noProof/>
          <w:lang w:eastAsia="it-IT"/>
        </w:rPr>
        <w:pict>
          <v:shape id="Casella di testo 8" o:spid="_x0000_s1027" type="#_x0000_t202" style="position:absolute;margin-left:24pt;margin-top:13.1pt;width:6in;height:25.5pt;z-index:251664384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" fillcolor="#c5e0b4" strokecolor="#385723" strokeweight=".5pt">
            <v:textbox>
              <w:txbxContent>
                <w:p w:rsidR="00BD72C7" w:rsidRPr="00350946" w:rsidRDefault="003B6077" w:rsidP="00BD72C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Competenza </w:t>
                  </w:r>
                  <w:r w:rsidR="00F96000">
                    <w:rPr>
                      <w:sz w:val="28"/>
                      <w:szCs w:val="28"/>
                    </w:rPr>
                    <w:t>Speaking</w:t>
                  </w:r>
                </w:p>
              </w:txbxContent>
            </v:textbox>
            <w10:wrap anchorx="margin"/>
          </v:shape>
        </w:pict>
      </w:r>
    </w:p>
    <w:p w:rsidR="00BD72C7" w:rsidRPr="00BD72C7" w:rsidRDefault="00BD72C7" w:rsidP="00BD72C7"/>
    <w:p w:rsidR="00C2460A" w:rsidRDefault="0068777D" w:rsidP="00BD72C7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noProof/>
          <w:lang w:eastAsia="it-IT"/>
        </w:rPr>
        <w:drawing>
          <wp:anchor distT="0" distB="0" distL="114300" distR="114300" simplePos="0" relativeHeight="251672576" behindDoc="0" locked="0" layoutInCell="1" allowOverlap="1" wp14:anchorId="0B1998BC" wp14:editId="70052781">
            <wp:simplePos x="0" y="0"/>
            <wp:positionH relativeFrom="margin">
              <wp:posOffset>314325</wp:posOffset>
            </wp:positionH>
            <wp:positionV relativeFrom="paragraph">
              <wp:posOffset>733425</wp:posOffset>
            </wp:positionV>
            <wp:extent cx="5486400" cy="3200400"/>
            <wp:effectExtent l="0" t="0" r="0" b="0"/>
            <wp:wrapSquare wrapText="bothSides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9F577C">
        <w:rPr>
          <w:rFonts w:ascii="Calibri" w:eastAsia="Calibri" w:hAnsi="Calibri" w:cs="Times New Roman"/>
          <w:noProof/>
          <w:sz w:val="28"/>
          <w:szCs w:val="28"/>
          <w:lang w:eastAsia="it-IT"/>
        </w:rPr>
        <w:pict>
          <v:shape id="_x0000_s1029" type="#_x0000_t202" style="position:absolute;left:0;text-align:left;margin-left:25.5pt;margin-top:31.55pt;width:6in;height:25.5pt;z-index:251669504;visibility:visible;mso-position-horizontal-relative:margin;mso-position-vertical-relative:text;mso-width-relative:margin;mso-height-relative:margin" fillcolor="#b8cce4 [1300]" strokecolor="#385723" strokeweight=".5pt">
            <v:textbox>
              <w:txbxContent>
                <w:p w:rsidR="00C2460A" w:rsidRPr="00350946" w:rsidRDefault="00F96000" w:rsidP="00C2460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Competenza Reading</w:t>
                  </w:r>
                </w:p>
              </w:txbxContent>
            </v:textbox>
            <w10:wrap anchorx="margin"/>
          </v:shape>
        </w:pict>
      </w:r>
    </w:p>
    <w:p w:rsidR="00C2460A" w:rsidRDefault="00C2460A" w:rsidP="00BD72C7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C2460A" w:rsidRDefault="00C2460A" w:rsidP="00BD72C7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F96000" w:rsidRDefault="00F96000" w:rsidP="00916F25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noProof/>
          <w:lang w:eastAsia="it-IT"/>
        </w:rPr>
        <w:lastRenderedPageBreak/>
        <w:drawing>
          <wp:anchor distT="0" distB="0" distL="114300" distR="114300" simplePos="0" relativeHeight="251675648" behindDoc="0" locked="0" layoutInCell="1" allowOverlap="1" wp14:anchorId="4F9781BE" wp14:editId="025923BA">
            <wp:simplePos x="0" y="0"/>
            <wp:positionH relativeFrom="margin">
              <wp:posOffset>314325</wp:posOffset>
            </wp:positionH>
            <wp:positionV relativeFrom="paragraph">
              <wp:posOffset>91440</wp:posOffset>
            </wp:positionV>
            <wp:extent cx="5486400" cy="3200400"/>
            <wp:effectExtent l="0" t="0" r="0" b="0"/>
            <wp:wrapSquare wrapText="bothSides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>
        <w:rPr>
          <w:rFonts w:ascii="Calibri" w:eastAsia="Calibri" w:hAnsi="Calibri" w:cs="Times New Roman"/>
          <w:noProof/>
          <w:sz w:val="28"/>
          <w:szCs w:val="28"/>
          <w:lang w:eastAsia="it-IT"/>
        </w:rPr>
        <w:pict>
          <v:shape id="_x0000_s1032" type="#_x0000_t202" style="position:absolute;left:0;text-align:left;margin-left:24.75pt;margin-top:-19.95pt;width:6in;height:25.5pt;z-index:251673600;visibility:visible;mso-position-horizontal-relative:margin;mso-position-vertical-relative:text;mso-width-relative:margin;mso-height-relative:margin" fillcolor="#b8cce4 [1300]" strokecolor="#385723" strokeweight=".5pt">
            <v:textbox>
              <w:txbxContent>
                <w:p w:rsidR="00F96000" w:rsidRPr="00350946" w:rsidRDefault="00F96000" w:rsidP="00F9600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Competenza Writing</w:t>
                  </w:r>
                </w:p>
              </w:txbxContent>
            </v:textbox>
            <w10:wrap anchorx="margin"/>
          </v:shape>
        </w:pict>
      </w:r>
    </w:p>
    <w:p w:rsidR="00F96000" w:rsidRDefault="00F96000" w:rsidP="00916F25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</w:p>
    <w:p w:rsidR="00BD72C7" w:rsidRPr="00BD72C7" w:rsidRDefault="00BD72C7" w:rsidP="002F1C03">
      <w:pPr>
        <w:spacing w:after="0"/>
        <w:jc w:val="both"/>
      </w:pPr>
      <w:r>
        <w:rPr>
          <w:rFonts w:ascii="Calibri" w:eastAsia="Calibri" w:hAnsi="Calibri" w:cs="Times New Roman"/>
          <w:sz w:val="28"/>
          <w:szCs w:val="28"/>
        </w:rPr>
        <w:t>Dai grafici</w:t>
      </w:r>
      <w:r w:rsidRPr="000277DA">
        <w:rPr>
          <w:rFonts w:ascii="Calibri" w:eastAsia="Calibri" w:hAnsi="Calibri" w:cs="Times New Roman"/>
          <w:sz w:val="28"/>
          <w:szCs w:val="28"/>
        </w:rPr>
        <w:t xml:space="preserve"> di confronto tra la valutazione iniziale e quella finale delle competenze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0277DA">
        <w:rPr>
          <w:rFonts w:ascii="Calibri" w:eastAsia="Calibri" w:hAnsi="Calibri" w:cs="Times New Roman"/>
          <w:sz w:val="28"/>
          <w:szCs w:val="28"/>
        </w:rPr>
        <w:t xml:space="preserve">si evince che l’intero percorso formativo ha avuto una </w:t>
      </w:r>
      <w:r>
        <w:rPr>
          <w:rFonts w:ascii="Calibri" w:eastAsia="Calibri" w:hAnsi="Calibri" w:cs="Times New Roman"/>
          <w:sz w:val="28"/>
          <w:szCs w:val="28"/>
        </w:rPr>
        <w:t xml:space="preserve">significativa </w:t>
      </w:r>
      <w:r w:rsidRPr="000277DA">
        <w:rPr>
          <w:rFonts w:ascii="Calibri" w:eastAsia="Calibri" w:hAnsi="Calibri" w:cs="Times New Roman"/>
          <w:sz w:val="28"/>
          <w:szCs w:val="28"/>
        </w:rPr>
        <w:t xml:space="preserve">incisività sull’acquisizione delle competenze prese in esame. </w:t>
      </w:r>
      <w:r w:rsidR="00AE4360">
        <w:rPr>
          <w:rFonts w:ascii="Calibri" w:eastAsia="Calibri" w:hAnsi="Calibri" w:cs="Times New Roman"/>
          <w:sz w:val="28"/>
          <w:szCs w:val="28"/>
        </w:rPr>
        <w:t xml:space="preserve">Infatti </w:t>
      </w:r>
      <w:r w:rsidR="00F87466">
        <w:rPr>
          <w:rFonts w:ascii="Calibri" w:eastAsia="Calibri" w:hAnsi="Calibri" w:cs="Times New Roman"/>
          <w:sz w:val="28"/>
          <w:szCs w:val="28"/>
        </w:rPr>
        <w:t xml:space="preserve">per quanto riguarda </w:t>
      </w:r>
      <w:r w:rsidR="002F1C03">
        <w:rPr>
          <w:rFonts w:ascii="Calibri" w:eastAsia="Calibri" w:hAnsi="Calibri" w:cs="Times New Roman"/>
          <w:sz w:val="28"/>
          <w:szCs w:val="28"/>
        </w:rPr>
        <w:t xml:space="preserve">tutte le competenze prese in considerazione si è completamente azzerata la percentuale dei corsisti nel livello più basso che è quello “iniziale” ed è notevolmente aumentata la percentuale degli alunni che si è posizionata nel livello più alto in assoluto che è quello “avanzato”. Rispetto alla valutazione iniziale per la competenza Listening  è leggermente aumentata la percentuale nel livello “base” ed è diminuita nel livello “intermedio”. Per la competenza Speaking </w:t>
      </w:r>
      <w:r w:rsidR="009F577C">
        <w:rPr>
          <w:rFonts w:ascii="Calibri" w:eastAsia="Calibri" w:hAnsi="Calibri" w:cs="Times New Roman"/>
          <w:sz w:val="28"/>
          <w:szCs w:val="28"/>
        </w:rPr>
        <w:t>è aumentata la percentuale degli alunni anche nel livello “base” ed “intermedio. Per la competenza Reading è diminuita la percentuale dei corsisti nel livello “base” a vantaggio della percentuale degli alunni nel livello “intermedio”. Infine per la competenza Writing è leggermente aumentata la percentuale nel livello “base” a discapito della percentuale nel livello “intermedio”.</w:t>
      </w:r>
      <w:bookmarkStart w:id="0" w:name="_GoBack"/>
      <w:bookmarkEnd w:id="0"/>
    </w:p>
    <w:p w:rsidR="00BD72C7" w:rsidRPr="00BD72C7" w:rsidRDefault="00BD72C7" w:rsidP="00BD72C7"/>
    <w:p w:rsidR="00BD72C7" w:rsidRPr="00BD72C7" w:rsidRDefault="00BD72C7" w:rsidP="00BD72C7"/>
    <w:p w:rsidR="00BD72C7" w:rsidRDefault="00BD72C7" w:rsidP="00BD72C7"/>
    <w:p w:rsidR="00DF2684" w:rsidRPr="00BD72C7" w:rsidRDefault="00BD72C7" w:rsidP="00BD72C7">
      <w:pPr>
        <w:tabs>
          <w:tab w:val="left" w:pos="3645"/>
        </w:tabs>
      </w:pPr>
      <w:r>
        <w:tab/>
      </w:r>
    </w:p>
    <w:sectPr w:rsidR="00DF2684" w:rsidRPr="00BD72C7" w:rsidSect="00DF26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44551"/>
    <w:rsid w:val="000D0F4C"/>
    <w:rsid w:val="002F1C03"/>
    <w:rsid w:val="003049AC"/>
    <w:rsid w:val="00313D91"/>
    <w:rsid w:val="00395873"/>
    <w:rsid w:val="003B6077"/>
    <w:rsid w:val="004A5181"/>
    <w:rsid w:val="0067465D"/>
    <w:rsid w:val="00675D50"/>
    <w:rsid w:val="0068777D"/>
    <w:rsid w:val="00916F25"/>
    <w:rsid w:val="009F577C"/>
    <w:rsid w:val="00A43F0B"/>
    <w:rsid w:val="00AE4360"/>
    <w:rsid w:val="00BD21FE"/>
    <w:rsid w:val="00BD72C7"/>
    <w:rsid w:val="00C2460A"/>
    <w:rsid w:val="00CA1F7D"/>
    <w:rsid w:val="00CB544C"/>
    <w:rsid w:val="00DC5D3B"/>
    <w:rsid w:val="00DF2684"/>
    <w:rsid w:val="00E44551"/>
    <w:rsid w:val="00ED3069"/>
    <w:rsid w:val="00F87466"/>
    <w:rsid w:val="00F9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3BE5AF42"/>
  <w15:docId w15:val="{ED068FA4-130C-4EBB-A416-EBEF12C5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26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oglio_di_lavoro_di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oglio_di_lavoro_di_Microsoft_Excel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oglio_di_lavoro_di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oglio_di_lavoro_di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 w="9525" cap="flat" cmpd="sng" algn="ctr">
          <a:noFill/>
          <a:prstDash val="solid"/>
          <a:round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0935586176727914E-2"/>
          <c:y val="2.1795713035870516E-2"/>
          <c:w val="0.89360145086030918"/>
          <c:h val="0.7735183102112236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Valutazione iniziale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strRef>
              <c:f>Foglio1!$A$2:$A$5</c:f>
              <c:strCache>
                <c:ptCount val="4"/>
                <c:pt idx="0">
                  <c:v>Iniziale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Foglio1!$B$2:$B$5</c:f>
              <c:numCache>
                <c:formatCode>0%</c:formatCode>
                <c:ptCount val="4"/>
                <c:pt idx="0">
                  <c:v>0.24</c:v>
                </c:pt>
                <c:pt idx="1">
                  <c:v>0.24</c:v>
                </c:pt>
                <c:pt idx="2">
                  <c:v>0.44</c:v>
                </c:pt>
                <c:pt idx="3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B5-4648-B283-2A188512BDCE}"/>
            </c:ext>
          </c:extLst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Valutazione finale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strRef>
              <c:f>Foglio1!$A$2:$A$5</c:f>
              <c:strCache>
                <c:ptCount val="4"/>
                <c:pt idx="0">
                  <c:v>Iniziale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Foglio1!$C$2:$C$5</c:f>
              <c:numCache>
                <c:formatCode>0%</c:formatCode>
                <c:ptCount val="4"/>
                <c:pt idx="0">
                  <c:v>0</c:v>
                </c:pt>
                <c:pt idx="1">
                  <c:v>0.25</c:v>
                </c:pt>
                <c:pt idx="2">
                  <c:v>0.375</c:v>
                </c:pt>
                <c:pt idx="3" formatCode="0.00%">
                  <c:v>0.375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FB5-4648-B283-2A188512BD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0798336"/>
        <c:axId val="110799872"/>
        <c:axId val="0"/>
      </c:bar3DChart>
      <c:catAx>
        <c:axId val="110798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0799872"/>
        <c:crosses val="autoZero"/>
        <c:auto val="1"/>
        <c:lblAlgn val="ctr"/>
        <c:lblOffset val="100"/>
        <c:noMultiLvlLbl val="0"/>
      </c:catAx>
      <c:valAx>
        <c:axId val="110799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0798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Valutazione iniziale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strRef>
              <c:f>Foglio1!$A$2:$A$5</c:f>
              <c:strCache>
                <c:ptCount val="4"/>
                <c:pt idx="0">
                  <c:v>Iniziale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Foglio1!$B$2:$B$5</c:f>
              <c:numCache>
                <c:formatCode>0%</c:formatCode>
                <c:ptCount val="4"/>
                <c:pt idx="0">
                  <c:v>0.24</c:v>
                </c:pt>
                <c:pt idx="1">
                  <c:v>0.36</c:v>
                </c:pt>
                <c:pt idx="2">
                  <c:v>0.32</c:v>
                </c:pt>
                <c:pt idx="3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84-40A4-8F4F-37C87B7BB5C2}"/>
            </c:ext>
          </c:extLst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Valutazione finale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strRef>
              <c:f>Foglio1!$A$2:$A$5</c:f>
              <c:strCache>
                <c:ptCount val="4"/>
                <c:pt idx="0">
                  <c:v>Iniziale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Foglio1!$C$2:$C$5</c:f>
              <c:numCache>
                <c:formatCode>0%</c:formatCode>
                <c:ptCount val="4"/>
                <c:pt idx="0">
                  <c:v>0</c:v>
                </c:pt>
                <c:pt idx="1">
                  <c:v>0.41660000000000003</c:v>
                </c:pt>
                <c:pt idx="2">
                  <c:v>0.33339999999999997</c:v>
                </c:pt>
                <c:pt idx="3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184-40A4-8F4F-37C87B7BB5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0798336"/>
        <c:axId val="110799872"/>
        <c:axId val="0"/>
      </c:bar3DChart>
      <c:catAx>
        <c:axId val="110798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0799872"/>
        <c:crosses val="autoZero"/>
        <c:auto val="1"/>
        <c:lblAlgn val="ctr"/>
        <c:lblOffset val="100"/>
        <c:noMultiLvlLbl val="0"/>
      </c:catAx>
      <c:valAx>
        <c:axId val="110799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0798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 w="9525" cap="flat" cmpd="sng" algn="ctr">
          <a:noFill/>
          <a:prstDash val="solid"/>
          <a:round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Valutazione iniziale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Foglio1!$A$2:$A$5</c:f>
              <c:strCache>
                <c:ptCount val="4"/>
                <c:pt idx="0">
                  <c:v>Iniziale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Foglio1!$B$2:$B$5</c:f>
              <c:numCache>
                <c:formatCode>0%</c:formatCode>
                <c:ptCount val="4"/>
                <c:pt idx="0">
                  <c:v>0.2</c:v>
                </c:pt>
                <c:pt idx="1">
                  <c:v>0.36</c:v>
                </c:pt>
                <c:pt idx="2">
                  <c:v>0.36</c:v>
                </c:pt>
                <c:pt idx="3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BA-4B54-9927-3DB07364625F}"/>
            </c:ext>
          </c:extLst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Valutazione finale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Foglio1!$A$2:$A$5</c:f>
              <c:strCache>
                <c:ptCount val="4"/>
                <c:pt idx="0">
                  <c:v>Iniziale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Foglio1!$C$2:$C$5</c:f>
              <c:numCache>
                <c:formatCode>0%</c:formatCode>
                <c:ptCount val="4"/>
                <c:pt idx="0">
                  <c:v>0</c:v>
                </c:pt>
                <c:pt idx="1">
                  <c:v>0.25</c:v>
                </c:pt>
                <c:pt idx="2">
                  <c:v>0.375</c:v>
                </c:pt>
                <c:pt idx="3" formatCode="0.00%">
                  <c:v>0.375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9BA-4B54-9927-3DB0736462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0798336"/>
        <c:axId val="110799872"/>
        <c:axId val="0"/>
      </c:bar3DChart>
      <c:catAx>
        <c:axId val="110798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0799872"/>
        <c:crosses val="autoZero"/>
        <c:auto val="1"/>
        <c:lblAlgn val="ctr"/>
        <c:lblOffset val="100"/>
        <c:noMultiLvlLbl val="0"/>
      </c:catAx>
      <c:valAx>
        <c:axId val="110799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0798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 w="9525" cap="flat" cmpd="sng" algn="ctr">
          <a:noFill/>
          <a:prstDash val="solid"/>
          <a:round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Valutazione iniziale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Foglio1!$A$2:$A$5</c:f>
              <c:strCache>
                <c:ptCount val="4"/>
                <c:pt idx="0">
                  <c:v>Iniziale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Foglio1!$B$2:$B$5</c:f>
              <c:numCache>
                <c:formatCode>0%</c:formatCode>
                <c:ptCount val="4"/>
                <c:pt idx="0">
                  <c:v>0.28000000000000003</c:v>
                </c:pt>
                <c:pt idx="1">
                  <c:v>0.4</c:v>
                </c:pt>
                <c:pt idx="2">
                  <c:v>0.28000000000000003</c:v>
                </c:pt>
                <c:pt idx="3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8C-41FA-9476-0B55A01C5EE5}"/>
            </c:ext>
          </c:extLst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Valutazione finale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Foglio1!$A$2:$A$5</c:f>
              <c:strCache>
                <c:ptCount val="4"/>
                <c:pt idx="0">
                  <c:v>Iniziale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Foglio1!$C$2:$C$5</c:f>
              <c:numCache>
                <c:formatCode>0%</c:formatCode>
                <c:ptCount val="4"/>
                <c:pt idx="0">
                  <c:v>0</c:v>
                </c:pt>
                <c:pt idx="1">
                  <c:v>0.41660000000000003</c:v>
                </c:pt>
                <c:pt idx="2">
                  <c:v>0.25</c:v>
                </c:pt>
                <c:pt idx="3" formatCode="0.00%">
                  <c:v>0.33339999999999997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38C-41FA-9476-0B55A01C5E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0798336"/>
        <c:axId val="110799872"/>
        <c:axId val="0"/>
      </c:bar3DChart>
      <c:catAx>
        <c:axId val="110798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0799872"/>
        <c:crosses val="autoZero"/>
        <c:auto val="1"/>
        <c:lblAlgn val="ctr"/>
        <c:lblOffset val="100"/>
        <c:noMultiLvlLbl val="0"/>
      </c:catAx>
      <c:valAx>
        <c:axId val="110799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0798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Olivieri</dc:creator>
  <cp:lastModifiedBy>Flora</cp:lastModifiedBy>
  <cp:revision>17</cp:revision>
  <dcterms:created xsi:type="dcterms:W3CDTF">2018-06-12T07:23:00Z</dcterms:created>
  <dcterms:modified xsi:type="dcterms:W3CDTF">2019-06-01T17:39:00Z</dcterms:modified>
</cp:coreProperties>
</file>