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4A5181" w:rsidRPr="004A5181" w:rsidRDefault="00E4455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4A5181" w:rsidRPr="004A5181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4A5181" w:rsidRPr="004A5181">
        <w:rPr>
          <w:rFonts w:ascii="Calibri" w:eastAsia="Calibri" w:hAnsi="Calibri" w:cs="Calibri"/>
          <w:sz w:val="28"/>
          <w:szCs w:val="28"/>
        </w:rPr>
        <w:t>.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4A5181" w:rsidRPr="004A5181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4A5181" w:rsidRPr="004A5181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4A5181"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</w:t>
      </w:r>
      <w:proofErr w:type="gramStart"/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 10.2.2.A</w:t>
      </w:r>
      <w:proofErr w:type="gramEnd"/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Competenze di base.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4A5181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proofErr w:type="gramStart"/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4A5181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</w:t>
      </w:r>
      <w:proofErr w:type="gramEnd"/>
      <w:r w:rsidRPr="004A5181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</w:t>
      </w:r>
      <w:r w:rsidRPr="004A5181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4A5181" w:rsidRPr="004A5181" w:rsidRDefault="004A5181" w:rsidP="004A5181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4A5181">
        <w:rPr>
          <w:rFonts w:ascii="Calibri" w:eastAsia="Calibri" w:hAnsi="Calibri" w:cs="Calibri"/>
          <w:b/>
          <w:bCs/>
          <w:sz w:val="28"/>
          <w:szCs w:val="28"/>
        </w:rPr>
        <w:t>Modulo: “Fare matematica”</w:t>
      </w: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ED3069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C2460A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operativa di calcolo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  <w:bookmarkStart w:id="0" w:name="_GoBack"/>
      <w:bookmarkEnd w:id="0"/>
    </w:p>
    <w:p w:rsidR="00C2460A" w:rsidRDefault="00ED3069" w:rsidP="00BD72C7">
      <w:r>
        <w:rPr>
          <w:noProof/>
          <w:lang w:eastAsia="it-IT"/>
        </w:rPr>
        <w:lastRenderedPageBreak/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C2460A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ED3069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width-relative:margin;mso-height-relative:margin" fillcolor="#b8cce4 [1300]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di rappresentazione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 w:rsidRPr="00E44551">
        <w:rPr>
          <w:noProof/>
          <w:lang w:eastAsia="it-IT"/>
        </w:rPr>
        <w:drawing>
          <wp:anchor distT="0" distB="0" distL="114300" distR="114300" simplePos="0" relativeHeight="251668480" behindDoc="0" locked="0" layoutInCell="1" allowOverlap="1" wp14:anchorId="6CFAE53C" wp14:editId="7039300C">
            <wp:simplePos x="0" y="0"/>
            <wp:positionH relativeFrom="margin">
              <wp:posOffset>314325</wp:posOffset>
            </wp:positionH>
            <wp:positionV relativeFrom="paragraph">
              <wp:posOffset>370840</wp:posOffset>
            </wp:positionV>
            <wp:extent cx="5486400" cy="3200400"/>
            <wp:effectExtent l="0" t="0" r="0" b="0"/>
            <wp:wrapSquare wrapText="bothSides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BD72C7" w:rsidRPr="000277DA" w:rsidRDefault="00BD72C7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675D50">
        <w:rPr>
          <w:rFonts w:ascii="Calibri" w:eastAsia="Calibri" w:hAnsi="Calibri" w:cs="Times New Roman"/>
          <w:sz w:val="28"/>
          <w:szCs w:val="28"/>
        </w:rPr>
        <w:t>si sono azzerate</w:t>
      </w:r>
      <w:r w:rsidR="00DC5D3B">
        <w:rPr>
          <w:rFonts w:ascii="Calibri" w:eastAsia="Calibri" w:hAnsi="Calibri" w:cs="Times New Roman"/>
          <w:sz w:val="28"/>
          <w:szCs w:val="28"/>
        </w:rPr>
        <w:t xml:space="preserve"> nelle tre competenze</w:t>
      </w:r>
      <w:r w:rsidR="00675D50">
        <w:rPr>
          <w:rFonts w:ascii="Calibri" w:eastAsia="Calibri" w:hAnsi="Calibri" w:cs="Times New Roman"/>
          <w:sz w:val="28"/>
          <w:szCs w:val="28"/>
        </w:rPr>
        <w:t xml:space="preserve"> le percentuali dei corsisti che nella valutazione i</w:t>
      </w:r>
      <w:r w:rsidR="00DC5D3B">
        <w:rPr>
          <w:rFonts w:ascii="Calibri" w:eastAsia="Calibri" w:hAnsi="Calibri" w:cs="Times New Roman"/>
          <w:sz w:val="28"/>
          <w:szCs w:val="28"/>
        </w:rPr>
        <w:t>niziale si erano posizionati nei livelli più bassi</w:t>
      </w:r>
      <w:r w:rsidR="00675D50">
        <w:rPr>
          <w:rFonts w:ascii="Calibri" w:eastAsia="Calibri" w:hAnsi="Calibri" w:cs="Times New Roman"/>
          <w:sz w:val="28"/>
          <w:szCs w:val="28"/>
        </w:rPr>
        <w:t>, “</w:t>
      </w:r>
      <w:r w:rsidR="00DC5D3B">
        <w:rPr>
          <w:rFonts w:ascii="Calibri" w:eastAsia="Calibri" w:hAnsi="Calibri" w:cs="Times New Roman"/>
          <w:sz w:val="28"/>
          <w:szCs w:val="28"/>
        </w:rPr>
        <w:t>Iniziale</w:t>
      </w:r>
      <w:r w:rsidR="00675D50">
        <w:rPr>
          <w:rFonts w:ascii="Calibri" w:eastAsia="Calibri" w:hAnsi="Calibri" w:cs="Times New Roman"/>
          <w:sz w:val="28"/>
          <w:szCs w:val="28"/>
        </w:rPr>
        <w:t>”</w:t>
      </w:r>
      <w:r w:rsidR="00DC5D3B">
        <w:rPr>
          <w:rFonts w:ascii="Calibri" w:eastAsia="Calibri" w:hAnsi="Calibri" w:cs="Times New Roman"/>
          <w:sz w:val="28"/>
          <w:szCs w:val="28"/>
        </w:rPr>
        <w:t xml:space="preserve"> </w:t>
      </w:r>
      <w:proofErr w:type="gramStart"/>
      <w:r w:rsidR="00DC5D3B">
        <w:rPr>
          <w:rFonts w:ascii="Calibri" w:eastAsia="Calibri" w:hAnsi="Calibri" w:cs="Times New Roman"/>
          <w:sz w:val="28"/>
          <w:szCs w:val="28"/>
        </w:rPr>
        <w:t>e “</w:t>
      </w:r>
      <w:proofErr w:type="gramEnd"/>
      <w:r w:rsidR="00DC5D3B">
        <w:rPr>
          <w:rFonts w:ascii="Calibri" w:eastAsia="Calibri" w:hAnsi="Calibri" w:cs="Times New Roman"/>
          <w:sz w:val="28"/>
          <w:szCs w:val="28"/>
        </w:rPr>
        <w:t>Base”, mentre sono notevolmente aumentate le percentuali degli alunni che si sono posizionati</w:t>
      </w:r>
      <w:r w:rsidR="00313D91">
        <w:rPr>
          <w:rFonts w:ascii="Calibri" w:eastAsia="Calibri" w:hAnsi="Calibri" w:cs="Times New Roman"/>
          <w:sz w:val="28"/>
          <w:szCs w:val="28"/>
        </w:rPr>
        <w:t xml:space="preserve"> tutti</w:t>
      </w:r>
      <w:r w:rsidR="00DC5D3B">
        <w:rPr>
          <w:rFonts w:ascii="Calibri" w:eastAsia="Calibri" w:hAnsi="Calibri" w:cs="Times New Roman"/>
          <w:sz w:val="28"/>
          <w:szCs w:val="28"/>
        </w:rPr>
        <w:t xml:space="preserve"> nei livelli di competenza più alti “Intermedio” e “Avanzato”.</w:t>
      </w:r>
      <w:r w:rsidR="00675D50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BD72C7" w:rsidRPr="00BD72C7" w:rsidRDefault="00BD72C7" w:rsidP="00BD72C7"/>
    <w:p w:rsidR="00BD72C7" w:rsidRPr="00BD72C7" w:rsidRDefault="00BD72C7" w:rsidP="00BD72C7"/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313D91"/>
    <w:rsid w:val="004A5181"/>
    <w:rsid w:val="0067465D"/>
    <w:rsid w:val="00675D50"/>
    <w:rsid w:val="00AE4360"/>
    <w:rsid w:val="00BD72C7"/>
    <w:rsid w:val="00C2460A"/>
    <w:rsid w:val="00CB544C"/>
    <w:rsid w:val="00DC5D3B"/>
    <w:rsid w:val="00DF2684"/>
    <w:rsid w:val="00E44551"/>
    <w:rsid w:val="00ED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705EFEAF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0.46150000000000002</c:v>
                </c:pt>
                <c:pt idx="1">
                  <c:v>0.3846</c:v>
                </c:pt>
                <c:pt idx="2">
                  <c:v>0.15379999999999999</c:v>
                </c:pt>
                <c:pt idx="3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0.41660000000000003</c:v>
                </c:pt>
                <c:pt idx="3" formatCode="0.00%">
                  <c:v>0.58340000000000003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0.53839999999999999</c:v>
                </c:pt>
                <c:pt idx="1">
                  <c:v>0.34610000000000002</c:v>
                </c:pt>
                <c:pt idx="2">
                  <c:v>0.1153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0.54159999999999997</c:v>
                </c:pt>
                <c:pt idx="3" formatCode="0.00%">
                  <c:v>0.45839999999999997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0.34610000000000002</c:v>
                </c:pt>
                <c:pt idx="1">
                  <c:v>0.42299999999999999</c:v>
                </c:pt>
                <c:pt idx="2">
                  <c:v>0.1923</c:v>
                </c:pt>
                <c:pt idx="3" formatCode="0.00%">
                  <c:v>3.8399999999999997E-2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66C-49D8-9632-4BF6454A9F2A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0.375</c:v>
                </c:pt>
                <c:pt idx="3" formatCode="0.00%">
                  <c:v>0.625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6C-49D8-9632-4BF6454A9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6231424"/>
        <c:axId val="76237056"/>
        <c:axId val="0"/>
      </c:bar3DChart>
      <c:catAx>
        <c:axId val="762314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37056"/>
        <c:crosses val="autoZero"/>
        <c:auto val="1"/>
        <c:lblAlgn val="ctr"/>
        <c:lblOffset val="100"/>
        <c:noMultiLvlLbl val="0"/>
      </c:catAx>
      <c:valAx>
        <c:axId val="76237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762314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8</cp:revision>
  <dcterms:created xsi:type="dcterms:W3CDTF">2018-06-12T07:23:00Z</dcterms:created>
  <dcterms:modified xsi:type="dcterms:W3CDTF">2019-05-30T08:41:00Z</dcterms:modified>
</cp:coreProperties>
</file>